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rPr>
          <w:rFonts w:ascii="Nimbus Sans" w:hAnsi="Nimbus Sans"/>
        </w:rPr>
      </w:pPr>
      <w:r>
        <w:rPr>
          <w:rFonts w:ascii="Nimbus Sans" w:hAnsi="Nimbus Sans"/>
        </w:rPr>
        <w:drawing>
          <wp:anchor behindDoc="0" distT="0" distB="0" distL="114300" distR="114300" simplePos="0" locked="0" layoutInCell="0" allowOverlap="1" relativeHeight="2">
            <wp:simplePos x="0" y="0"/>
            <wp:positionH relativeFrom="column">
              <wp:posOffset>2346960</wp:posOffset>
            </wp:positionH>
            <wp:positionV relativeFrom="paragraph">
              <wp:posOffset>3810</wp:posOffset>
            </wp:positionV>
            <wp:extent cx="1695450" cy="1165225"/>
            <wp:effectExtent l="0" t="0" r="0" b="0"/>
            <wp:wrapTight wrapText="bothSides">
              <wp:wrapPolygon edited="0">
                <wp:start x="6053" y="0"/>
                <wp:lineTo x="4839" y="1408"/>
                <wp:lineTo x="4839" y="5289"/>
                <wp:lineTo x="6053" y="5996"/>
                <wp:lineTo x="2168" y="9171"/>
                <wp:lineTo x="711" y="10936"/>
                <wp:lineTo x="711" y="20468"/>
                <wp:lineTo x="3139" y="21171"/>
                <wp:lineTo x="11881" y="21171"/>
                <wp:lineTo x="13824" y="21171"/>
                <wp:lineTo x="19651" y="21171"/>
                <wp:lineTo x="21351" y="20468"/>
                <wp:lineTo x="21109" y="11288"/>
                <wp:lineTo x="19651" y="9526"/>
                <wp:lineTo x="15281" y="5642"/>
                <wp:lineTo x="8239" y="702"/>
                <wp:lineTo x="7025" y="0"/>
                <wp:lineTo x="6053" y="0"/>
              </wp:wrapPolygon>
            </wp:wrapTigh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695450" cy="1165225"/>
                    </a:xfrm>
                    <a:prstGeom prst="rect">
                      <a:avLst/>
                    </a:prstGeom>
                  </pic:spPr>
                </pic:pic>
              </a:graphicData>
            </a:graphic>
          </wp:anchor>
        </w:drawing>
      </w:r>
    </w:p>
    <w:p>
      <w:pPr>
        <w:pStyle w:val="Standard"/>
        <w:rPr>
          <w:rFonts w:ascii="Nimbus Sans" w:hAnsi="Nimbus Sans"/>
        </w:rPr>
      </w:pPr>
      <w:r>
        <w:rPr>
          <w:rFonts w:ascii="Nimbus Sans" w:hAnsi="Nimbus Sans"/>
        </w:rPr>
      </w:r>
    </w:p>
    <w:p>
      <w:pPr>
        <w:pStyle w:val="Standard"/>
        <w:rPr>
          <w:rFonts w:ascii="Nimbus Sans" w:hAnsi="Nimbus Sans"/>
        </w:rPr>
      </w:pPr>
      <w:r>
        <w:rPr>
          <w:rFonts w:ascii="Nimbus Sans" w:hAnsi="Nimbus Sans"/>
        </w:rPr>
      </w:r>
    </w:p>
    <w:p>
      <w:pPr>
        <w:pStyle w:val="Standard"/>
        <w:rPr>
          <w:rFonts w:ascii="Nimbus Sans" w:hAnsi="Nimbus Sans"/>
        </w:rPr>
      </w:pPr>
      <w:r>
        <w:rPr>
          <w:rFonts w:ascii="Nimbus Sans" w:hAnsi="Nimbus Sans"/>
        </w:rPr>
      </w:r>
    </w:p>
    <w:p>
      <w:pPr>
        <w:pStyle w:val="Standard"/>
        <w:rPr>
          <w:rFonts w:ascii="Nimbus Sans" w:hAnsi="Nimbus Sans"/>
        </w:rPr>
      </w:pPr>
      <w:r>
        <w:rPr>
          <w:rFonts w:ascii="Nimbus Sans" w:hAnsi="Nimbus Sans"/>
        </w:rPr>
      </w:r>
    </w:p>
    <w:p>
      <w:pPr>
        <w:pStyle w:val="Standard"/>
        <w:rPr>
          <w:rFonts w:ascii="Nimbus Sans" w:hAnsi="Nimbus Sans"/>
          <w:sz w:val="32"/>
          <w:szCs w:val="32"/>
          <w:u w:val="single"/>
        </w:rPr>
      </w:pPr>
      <w:r>
        <w:rPr>
          <w:rFonts w:ascii="Nimbus Sans" w:hAnsi="Nimbus Sans"/>
          <w:sz w:val="32"/>
          <w:szCs w:val="32"/>
          <w:u w:val="single"/>
        </w:rPr>
      </w:r>
      <w:bookmarkStart w:id="0" w:name="page3R_mcid8"/>
      <w:bookmarkStart w:id="1" w:name="page3R_mcid8"/>
      <w:bookmarkEnd w:id="1"/>
    </w:p>
    <w:p>
      <w:pPr>
        <w:pStyle w:val="Standard"/>
        <w:jc w:val="center"/>
        <w:rPr>
          <w:rFonts w:ascii="Nimbus Sans" w:hAnsi="Nimbus Sans"/>
          <w:sz w:val="32"/>
          <w:szCs w:val="32"/>
          <w:u w:val="single"/>
        </w:rPr>
      </w:pPr>
      <w:r>
        <w:rPr>
          <w:rFonts w:ascii="Nimbus Sans" w:hAnsi="Nimbus Sans"/>
          <w:sz w:val="32"/>
          <w:szCs w:val="32"/>
          <w:u w:val="single"/>
        </w:rPr>
        <w:t>Règles de fonctionnement pour 202</w:t>
      </w:r>
      <w:r>
        <w:rPr>
          <w:rFonts w:ascii="Nimbus Sans" w:hAnsi="Nimbus Sans"/>
          <w:sz w:val="32"/>
          <w:szCs w:val="32"/>
          <w:u w:val="single"/>
        </w:rPr>
        <w:t>3</w:t>
      </w:r>
    </w:p>
    <w:p>
      <w:pPr>
        <w:pStyle w:val="Standard"/>
        <w:rPr>
          <w:rFonts w:ascii="Nimbus Sans" w:hAnsi="Nimbus Sans"/>
          <w:sz w:val="32"/>
          <w:szCs w:val="32"/>
          <w:u w:val="single"/>
        </w:rPr>
      </w:pPr>
      <w:r>
        <w:rPr>
          <w:rFonts w:ascii="Nimbus Sans" w:hAnsi="Nimbus Sans"/>
          <w:sz w:val="32"/>
          <w:szCs w:val="32"/>
          <w:u w:val="single"/>
        </w:rPr>
      </w:r>
    </w:p>
    <w:p>
      <w:pPr>
        <w:pStyle w:val="Standard"/>
        <w:rPr>
          <w:rFonts w:ascii="Nimbus Sans" w:hAnsi="Nimbus Sans"/>
          <w:b/>
          <w:b/>
          <w:bCs/>
        </w:rPr>
      </w:pPr>
      <w:r>
        <w:rPr>
          <w:rFonts w:ascii="Nimbus Sans" w:hAnsi="Nimbus Sans"/>
          <w:b/>
          <w:bCs/>
        </w:rPr>
        <w:t>1. Siège social</w:t>
      </w:r>
    </w:p>
    <w:p>
      <w:pPr>
        <w:pStyle w:val="Standard"/>
        <w:rPr>
          <w:rFonts w:ascii="Nimbus Sans" w:hAnsi="Nimbus Sans"/>
        </w:rPr>
      </w:pPr>
      <w:r>
        <w:rPr>
          <w:rFonts w:ascii="Nimbus Sans" w:hAnsi="Nimbus Sans"/>
        </w:rPr>
        <w:t>Le siège social du Marché public des Basques est situé au 400-2 rue Jean-Rioux, Trois-Pistoles, G0L 4K0, dans la MRC des Basques au Bas-Saint-Laurent.</w:t>
      </w:r>
    </w:p>
    <w:p>
      <w:pPr>
        <w:pStyle w:val="Standard"/>
        <w:rPr>
          <w:rFonts w:ascii="Nimbus Sans" w:hAnsi="Nimbus Sans"/>
          <w:b/>
          <w:b/>
          <w:bCs/>
        </w:rPr>
      </w:pPr>
      <w:r>
        <w:rPr>
          <w:rFonts w:ascii="Nimbus Sans" w:hAnsi="Nimbus Sans"/>
          <w:b/>
          <w:bCs/>
        </w:rPr>
      </w:r>
    </w:p>
    <w:p>
      <w:pPr>
        <w:pStyle w:val="Standard"/>
        <w:rPr>
          <w:rFonts w:ascii="Nimbus Sans" w:hAnsi="Nimbus Sans"/>
          <w:b/>
          <w:b/>
          <w:bCs/>
        </w:rPr>
      </w:pPr>
      <w:r>
        <w:rPr>
          <w:rFonts w:ascii="Nimbus Sans" w:hAnsi="Nimbus Sans"/>
          <w:b/>
          <w:bCs/>
        </w:rPr>
        <w:t>2. Objectifs des règles de fonctionnement</w:t>
      </w:r>
    </w:p>
    <w:p>
      <w:pPr>
        <w:pStyle w:val="Standard"/>
        <w:rPr>
          <w:rFonts w:ascii="Nimbus Sans" w:hAnsi="Nimbus Sans"/>
        </w:rPr>
      </w:pPr>
      <w:r>
        <w:rPr>
          <w:rFonts w:ascii="Nimbus Sans" w:hAnsi="Nimbus Sans"/>
        </w:rPr>
        <w:t>L’objectif du Marché public des Basques est de créer un lieu et un moment favorisant la mise en marché des producteurs agroalimentaires et des artisans locaux et régionaux.</w:t>
      </w:r>
    </w:p>
    <w:p>
      <w:pPr>
        <w:pStyle w:val="Standard"/>
        <w:rPr>
          <w:rFonts w:ascii="Nimbus Sans" w:hAnsi="Nimbus Sans"/>
          <w:b/>
          <w:b/>
          <w:bCs/>
        </w:rPr>
      </w:pPr>
      <w:r>
        <w:rPr>
          <w:rFonts w:ascii="Nimbus Sans" w:hAnsi="Nimbus Sans"/>
          <w:b/>
          <w:bCs/>
        </w:rPr>
      </w:r>
    </w:p>
    <w:p>
      <w:pPr>
        <w:pStyle w:val="Standard"/>
        <w:rPr>
          <w:rFonts w:ascii="Nimbus Sans" w:hAnsi="Nimbus Sans"/>
          <w:b/>
          <w:b/>
          <w:bCs/>
        </w:rPr>
      </w:pPr>
      <w:r>
        <w:rPr>
          <w:rFonts w:ascii="Nimbus Sans" w:hAnsi="Nimbus Sans"/>
          <w:b/>
          <w:bCs/>
        </w:rPr>
        <w:t>3. Conditions générales</w:t>
      </w:r>
    </w:p>
    <w:p>
      <w:pPr>
        <w:pStyle w:val="Standard"/>
        <w:rPr>
          <w:rFonts w:ascii="Nimbus Sans" w:hAnsi="Nimbus Sans"/>
          <w:i/>
          <w:i/>
          <w:iCs/>
        </w:rPr>
      </w:pPr>
      <w:r>
        <w:rPr>
          <w:rFonts w:ascii="Nimbus Sans" w:hAnsi="Nimbus Sans"/>
          <w:i/>
          <w:iCs/>
        </w:rPr>
        <w:t>a) INTERDICTION DE LA REVENTE</w:t>
      </w:r>
    </w:p>
    <w:p>
      <w:pPr>
        <w:pStyle w:val="Standard"/>
        <w:rPr>
          <w:rFonts w:ascii="Nimbus Sans" w:hAnsi="Nimbus Sans"/>
        </w:rPr>
      </w:pPr>
      <w:r>
        <w:rPr>
          <w:rFonts w:ascii="Nimbus Sans" w:hAnsi="Nimbus Sans"/>
        </w:rPr>
        <w:t>L’exposant doit avoir produit les éléments qu’il met en vente. (L’exposant n’est pas tenu d’être présent en personne à son kiosque ; il peut confier ce mandat à une autre personne, notamment un employé). Toute revente de produits est interdite, sauf dans les cas décrits en b) et c).</w:t>
      </w:r>
    </w:p>
    <w:p>
      <w:pPr>
        <w:pStyle w:val="Standard"/>
        <w:rPr>
          <w:rFonts w:ascii="Nimbus Sans" w:hAnsi="Nimbus Sans"/>
        </w:rPr>
      </w:pPr>
      <w:r>
        <w:rPr>
          <w:rFonts w:ascii="Nimbus Sans" w:hAnsi="Nimbus Sans"/>
        </w:rPr>
      </w:r>
    </w:p>
    <w:p>
      <w:pPr>
        <w:pStyle w:val="Standard"/>
        <w:rPr>
          <w:rFonts w:ascii="Nimbus Sans" w:hAnsi="Nimbus Sans"/>
        </w:rPr>
      </w:pPr>
      <w:r>
        <w:rPr>
          <w:rFonts w:ascii="Nimbus Sans" w:hAnsi="Nimbus Sans"/>
          <w:i/>
          <w:iCs/>
        </w:rPr>
        <w:t>b) PARRAINAGE</w:t>
      </w:r>
      <w:bookmarkStart w:id="2" w:name="page3R_mcid27"/>
      <w:bookmarkEnd w:id="2"/>
      <w:r>
        <w:rPr>
          <w:rFonts w:ascii="Nimbus Sans" w:hAnsi="Nimbus Sans"/>
        </w:rPr>
        <w:br/>
        <w:t>Il est possible à tout producteur, transformateur ou artis</w:t>
      </w:r>
      <w:r>
        <w:rPr>
          <w:rFonts w:ascii="Nimbus Sans" w:hAnsi="Nimbus Sans"/>
          <w:shd w:fill="auto" w:val="clear"/>
        </w:rPr>
        <w:t xml:space="preserve">an d’être « parrainé ». Le parrainage permet à cette personne de confier la vente de ses produits à </w:t>
      </w:r>
      <w:r>
        <w:rPr>
          <w:rFonts w:ascii="Nimbus Sans" w:hAnsi="Nimbus Sans"/>
        </w:rPr>
        <w:t>un autre membre exposant du Marché public des Basques. Pour être admissible au parrainage, la personne désirant en bénéficier doit :</w:t>
      </w:r>
    </w:p>
    <w:p>
      <w:pPr>
        <w:pStyle w:val="Standard"/>
        <w:rPr>
          <w:rFonts w:ascii="Nimbus Sans" w:hAnsi="Nimbus Sans"/>
        </w:rPr>
      </w:pPr>
      <w:r>
        <w:rPr>
          <w:rFonts w:ascii="Nimbus Sans" w:hAnsi="Nimbus Sans"/>
        </w:rPr>
        <w:t xml:space="preserve">→ </w:t>
      </w:r>
      <w:r>
        <w:rPr>
          <w:rFonts w:ascii="Nimbus Sans" w:hAnsi="Nimbus Sans"/>
        </w:rPr>
        <w:t>s’entendre préalablement avec un membre-exposant disposé à vendre ses produits au marché;</w:t>
      </w:r>
      <w:bookmarkStart w:id="3" w:name="page3R_mcid30"/>
      <w:bookmarkEnd w:id="3"/>
    </w:p>
    <w:p>
      <w:pPr>
        <w:pStyle w:val="Standard"/>
        <w:rPr/>
      </w:pPr>
      <w:r>
        <w:rPr>
          <w:rFonts w:ascii="Nimbus Sans" w:hAnsi="Nimbus Sans"/>
        </w:rPr>
        <w:t xml:space="preserve">→ </w:t>
      </w:r>
      <w:r>
        <w:rPr>
          <w:rFonts w:ascii="Nimbus Sans" w:hAnsi="Nimbus Sans"/>
        </w:rPr>
        <w:t>remplir le formulaire d’inscription de l’année en cours;</w:t>
      </w:r>
      <w:bookmarkStart w:id="4" w:name="page20R_mcid1"/>
      <w:bookmarkEnd w:id="4"/>
      <w:r>
        <w:rPr>
          <w:rFonts w:ascii="Nimbus Sans" w:hAnsi="Nimbus Sans"/>
        </w:rPr>
        <w:br/>
        <w:t>→ s’acquitter, en cas de décision favorable du conseil d’administration, de sa cotisation de membre et des frais de location de kiosque au tarif fixé pour le « parrainé », soit 50 % du coût normal d’un kiosque. (Ces frais ne diminuent en aucun cas les frais encourus par l’exposant « parrain ».) L’admission au parrainage n’est pas automatique. Le conseil d’administration doit donner son aval pour chaque cas afin que le programme de parrainage serve les objectifs du marché. Dans cet esprit, les produits du « parrainé » devront être clairement identifiés à ce dernier sur l’étal du kiosque du « parrain ».</w:t>
      </w:r>
    </w:p>
    <w:p>
      <w:pPr>
        <w:pStyle w:val="Standard"/>
        <w:rPr>
          <w:rFonts w:ascii="Nimbus Sans" w:hAnsi="Nimbus Sans"/>
        </w:rPr>
      </w:pPr>
      <w:r>
        <w:rPr>
          <w:rFonts w:ascii="Nimbus Sans" w:hAnsi="Nimbus Sans"/>
        </w:rPr>
      </w:r>
    </w:p>
    <w:p>
      <w:pPr>
        <w:pStyle w:val="Standard"/>
        <w:rPr/>
      </w:pPr>
      <w:r>
        <w:rPr>
          <w:rFonts w:ascii="Nimbus Sans" w:hAnsi="Nimbus Sans"/>
          <w:i/>
          <w:iCs/>
        </w:rPr>
        <w:t>c) EXCEPTION</w:t>
      </w:r>
      <w:bookmarkStart w:id="5" w:name="page20R_mcid7"/>
      <w:bookmarkEnd w:id="5"/>
      <w:r>
        <w:rPr>
          <w:rFonts w:ascii="Nimbus Sans" w:hAnsi="Nimbus Sans"/>
        </w:rPr>
        <w:br/>
        <w:t>Un exposant faisant de la revente de produits pourrait exceptionnellement être autorisé par le</w:t>
        <w:br/>
        <w:t>conseil d’administration dans le cas d’une offre unique ne faisant pas concurrence à la production régionale offerte au Marché public des Basques.</w:t>
      </w:r>
      <w:bookmarkStart w:id="6" w:name="page20R_mcid8"/>
      <w:bookmarkStart w:id="7" w:name="page20R_mcid9"/>
      <w:bookmarkEnd w:id="6"/>
      <w:bookmarkEnd w:id="7"/>
      <w:r>
        <w:rPr>
          <w:rFonts w:ascii="Nimbus Sans" w:hAnsi="Nimbus Sans"/>
        </w:rPr>
        <w:t xml:space="preserve"> </w:t>
      </w:r>
      <w:r>
        <w:rPr>
          <w:rFonts w:ascii="Nimbus Sans" w:hAnsi="Nimbus Sans"/>
          <w:b/>
          <w:bCs/>
          <w:u w:val="single"/>
        </w:rPr>
        <w:t>Une telle exception ne vaut que pour l’année en cours. L’exposant doit en faire la demande écrite à chaque nouvelle inscription.</w:t>
      </w:r>
    </w:p>
    <w:p>
      <w:pPr>
        <w:pStyle w:val="Standard"/>
        <w:rPr>
          <w:rFonts w:ascii="Nimbus Sans" w:hAnsi="Nimbus Sans"/>
          <w:u w:val="single"/>
        </w:rPr>
      </w:pPr>
      <w:r>
        <w:rPr>
          <w:rFonts w:ascii="Nimbus Sans" w:hAnsi="Nimbus Sans"/>
          <w:u w:val="single"/>
        </w:rPr>
      </w:r>
    </w:p>
    <w:p>
      <w:pPr>
        <w:pStyle w:val="Standard"/>
        <w:rPr>
          <w:rFonts w:ascii="Nimbus Sans" w:hAnsi="Nimbus Sans"/>
          <w:b/>
          <w:b/>
          <w:bCs/>
          <w:i/>
          <w:i/>
          <w:iCs/>
          <w:u w:val="single"/>
        </w:rPr>
      </w:pPr>
      <w:r>
        <w:rPr>
          <w:rFonts w:ascii="Nimbus Sans" w:hAnsi="Nimbus Sans"/>
          <w:b/>
          <w:bCs/>
          <w:i/>
          <w:iCs/>
          <w:u w:val="single"/>
        </w:rPr>
        <w:t>d) NON-RESPECT ET PROCÉDURE D’EXCLUSION</w:t>
      </w:r>
    </w:p>
    <w:p>
      <w:pPr>
        <w:pStyle w:val="Standard"/>
        <w:rPr>
          <w:rFonts w:ascii="Nimbus Sans" w:hAnsi="Nimbus Sans"/>
          <w:b/>
          <w:b/>
          <w:bCs/>
          <w:u w:val="single"/>
        </w:rPr>
      </w:pPr>
      <w:r>
        <w:rPr>
          <w:rFonts w:ascii="Nimbus Sans" w:hAnsi="Nimbus Sans"/>
          <w:b/>
          <w:bCs/>
          <w:u w:val="single"/>
        </w:rPr>
        <w:t>Le non-respect des règles de fonctionnement par un exposant entraînera :</w:t>
      </w:r>
    </w:p>
    <w:p>
      <w:pPr>
        <w:pStyle w:val="Standard"/>
        <w:rPr>
          <w:rFonts w:ascii="Nimbus Sans" w:hAnsi="Nimbus Sans"/>
          <w:b/>
          <w:b/>
          <w:bCs/>
          <w:u w:val="single"/>
        </w:rPr>
      </w:pPr>
      <w:r>
        <w:rPr>
          <w:rFonts w:ascii="Nimbus Sans" w:hAnsi="Nimbus Sans"/>
          <w:b/>
          <w:bCs/>
          <w:u w:val="single"/>
        </w:rPr>
        <w:t>1 – un avis verbal ;</w:t>
      </w:r>
    </w:p>
    <w:p>
      <w:pPr>
        <w:pStyle w:val="Standard"/>
        <w:rPr>
          <w:rFonts w:ascii="Nimbus Sans" w:hAnsi="Nimbus Sans"/>
          <w:b/>
          <w:b/>
          <w:bCs/>
          <w:u w:val="single"/>
        </w:rPr>
      </w:pPr>
      <w:r>
        <w:rPr>
          <w:rFonts w:ascii="Nimbus Sans" w:hAnsi="Nimbus Sans"/>
          <w:b/>
          <w:bCs/>
          <w:u w:val="single"/>
        </w:rPr>
        <w:t xml:space="preserve">2 – en cas de récidive, un avis écrit ; </w:t>
      </w:r>
    </w:p>
    <w:p>
      <w:pPr>
        <w:pStyle w:val="Standard"/>
        <w:rPr>
          <w:rFonts w:ascii="Nimbus Sans" w:hAnsi="Nimbus Sans"/>
          <w:b/>
          <w:b/>
          <w:bCs/>
          <w:u w:val="single"/>
        </w:rPr>
      </w:pPr>
      <w:r>
        <w:rPr>
          <w:rFonts w:ascii="Nimbus Sans" w:hAnsi="Nimbus Sans"/>
          <w:b/>
          <w:bCs/>
          <w:u w:val="single"/>
        </w:rPr>
        <w:t>3 – en cas de deuxième récidive, l’interdiction d’exposer et de vendre ses produits au Marché public des Basques.</w:t>
      </w:r>
    </w:p>
    <w:p>
      <w:pPr>
        <w:pStyle w:val="Standard"/>
        <w:rPr>
          <w:rFonts w:ascii="Nimbus Sans" w:hAnsi="Nimbus Sans"/>
          <w:b/>
          <w:b/>
          <w:bCs/>
          <w:u w:val="single"/>
        </w:rPr>
      </w:pPr>
      <w:r>
        <w:rPr>
          <w:rFonts w:ascii="Nimbus Sans" w:hAnsi="Nimbus Sans"/>
          <w:b/>
          <w:bCs/>
          <w:u w:val="single"/>
        </w:rPr>
      </w:r>
    </w:p>
    <w:p>
      <w:pPr>
        <w:pStyle w:val="Standard"/>
        <w:rPr>
          <w:rFonts w:ascii="Nimbus Sans" w:hAnsi="Nimbus Sans"/>
          <w:b/>
          <w:b/>
          <w:bCs/>
          <w:u w:val="single"/>
        </w:rPr>
      </w:pPr>
      <w:r>
        <w:rPr>
          <w:rFonts w:ascii="Nimbus Sans" w:hAnsi="Nimbus Sans"/>
          <w:b/>
          <w:bCs/>
          <w:u w:val="single"/>
        </w:rPr>
        <w:t>Aucun remboursement ne sera accordé dans un tel cas.</w:t>
      </w:r>
    </w:p>
    <w:p>
      <w:pPr>
        <w:pStyle w:val="Standard"/>
        <w:rPr>
          <w:rFonts w:ascii="Nimbus Sans" w:hAnsi="Nimbus Sans"/>
        </w:rPr>
      </w:pPr>
      <w:r>
        <w:rPr>
          <w:rFonts w:ascii="Nimbus Sans" w:hAnsi="Nimbus Sans"/>
        </w:rPr>
      </w:r>
    </w:p>
    <w:p>
      <w:pPr>
        <w:pStyle w:val="Standard"/>
        <w:rPr/>
      </w:pPr>
      <w:r>
        <w:rPr>
          <w:rFonts w:ascii="Nimbus Sans" w:hAnsi="Nimbus Sans"/>
          <w:b/>
          <w:bCs/>
        </w:rPr>
        <w:t>4. Saison, heures d’ouverture et emplacement du Marché</w:t>
      </w:r>
      <w:bookmarkStart w:id="8" w:name="page20R_mcid10"/>
      <w:bookmarkEnd w:id="8"/>
      <w:r>
        <w:rPr>
          <w:rFonts w:ascii="Nimbus Sans" w:hAnsi="Nimbus Sans"/>
        </w:rPr>
        <w:br/>
      </w:r>
      <w:r>
        <w:rPr>
          <w:rFonts w:ascii="Nimbus Sans" w:hAnsi="Nimbus Sans"/>
          <w:i/>
          <w:iCs/>
        </w:rPr>
        <w:t>a)</w:t>
      </w:r>
      <w:r>
        <w:rPr>
          <w:rFonts w:ascii="Nimbus Sans" w:hAnsi="Nimbus Sans"/>
        </w:rPr>
        <w:t xml:space="preserve"> Les marchés se tiennent à Trois-Pistoles, devant la microbrasserie Le Caveau des Trois-Pistoles (21 rue Pelletier), à tous les dimanches du 1</w:t>
      </w:r>
      <w:r>
        <w:rPr>
          <w:rFonts w:ascii="Nimbus Sans" w:hAnsi="Nimbus Sans"/>
        </w:rPr>
        <w:t>1</w:t>
      </w:r>
      <w:r>
        <w:rPr>
          <w:rFonts w:ascii="Nimbus Sans" w:hAnsi="Nimbus Sans"/>
        </w:rPr>
        <w:t xml:space="preserve"> juin 2022 au </w:t>
      </w:r>
      <w:r>
        <w:rPr>
          <w:rFonts w:ascii="Nimbus Sans" w:hAnsi="Nimbus Sans"/>
        </w:rPr>
        <w:t>8</w:t>
      </w:r>
      <w:r>
        <w:rPr>
          <w:rFonts w:ascii="Nimbus Sans" w:hAnsi="Nimbus Sans"/>
        </w:rPr>
        <w:t xml:space="preserve"> octobre 202</w:t>
      </w:r>
      <w:r>
        <w:rPr>
          <w:rFonts w:ascii="Nimbus Sans" w:hAnsi="Nimbus Sans"/>
        </w:rPr>
        <w:t>3</w:t>
      </w:r>
      <w:r>
        <w:rPr>
          <w:rFonts w:ascii="Nimbus Sans" w:hAnsi="Nimbus Sans"/>
        </w:rPr>
        <w:t>. La tenue du marché de Noël ainsi que tout autre marché hors saison sont à confirmer.</w:t>
      </w:r>
    </w:p>
    <w:p>
      <w:pPr>
        <w:pStyle w:val="Standard"/>
        <w:rPr/>
      </w:pPr>
      <w:bookmarkStart w:id="9" w:name="page20R_mcid11"/>
      <w:bookmarkEnd w:id="9"/>
      <w:r>
        <w:rPr>
          <w:rFonts w:ascii="Nimbus Sans" w:hAnsi="Nimbus Sans"/>
        </w:rPr>
        <w:br/>
      </w:r>
      <w:r>
        <w:rPr>
          <w:rFonts w:ascii="Nimbus Sans" w:hAnsi="Nimbus Sans"/>
          <w:i/>
          <w:iCs/>
        </w:rPr>
        <w:t>b)</w:t>
      </w:r>
      <w:r>
        <w:rPr>
          <w:rFonts w:ascii="Nimbus Sans" w:hAnsi="Nimbus Sans"/>
        </w:rPr>
        <w:t xml:space="preserve"> Les heures d’ouverture des marchés sont de 10h00 à 15h00.</w:t>
      </w:r>
    </w:p>
    <w:p>
      <w:pPr>
        <w:pStyle w:val="Standard"/>
        <w:rPr/>
      </w:pPr>
      <w:bookmarkStart w:id="10" w:name="page20R_mcid12"/>
      <w:bookmarkStart w:id="11" w:name="page20R_mcid13"/>
      <w:bookmarkEnd w:id="10"/>
      <w:bookmarkEnd w:id="11"/>
      <w:r>
        <w:rPr>
          <w:rFonts w:ascii="Nimbus Sans" w:hAnsi="Nimbus Sans"/>
        </w:rPr>
        <w:br/>
      </w:r>
      <w:r>
        <w:rPr>
          <w:rFonts w:ascii="Nimbus Sans" w:hAnsi="Nimbus Sans"/>
          <w:i/>
          <w:iCs/>
        </w:rPr>
        <w:t>c)</w:t>
      </w:r>
      <w:r>
        <w:rPr>
          <w:rFonts w:ascii="Nimbus Sans" w:hAnsi="Nimbus Sans"/>
        </w:rPr>
        <w:t xml:space="preserve"> Les marchés seront ouverts beau temps, mauvais temps.</w:t>
      </w:r>
    </w:p>
    <w:p>
      <w:pPr>
        <w:pStyle w:val="Standard"/>
        <w:rPr>
          <w:rFonts w:ascii="Nimbus Sans" w:hAnsi="Nimbus Sans"/>
        </w:rPr>
      </w:pPr>
      <w:r>
        <w:rPr>
          <w:rFonts w:ascii="Nimbus Sans" w:hAnsi="Nimbus Sans"/>
        </w:rPr>
      </w:r>
    </w:p>
    <w:p>
      <w:pPr>
        <w:pStyle w:val="Standard"/>
        <w:rPr/>
      </w:pPr>
      <w:r>
        <w:rPr>
          <w:rFonts w:ascii="Nimbus Sans" w:hAnsi="Nimbus Sans"/>
          <w:b/>
          <w:bCs/>
        </w:rPr>
        <w:t>5. Présences et participation des exposants</w:t>
      </w:r>
      <w:bookmarkStart w:id="12" w:name="page20R_mcid16"/>
      <w:bookmarkEnd w:id="12"/>
      <w:r>
        <w:rPr>
          <w:rFonts w:ascii="Nimbus Sans" w:hAnsi="Nimbus Sans"/>
        </w:rPr>
        <w:br/>
      </w:r>
      <w:r>
        <w:rPr>
          <w:rFonts w:ascii="Nimbus Sans" w:hAnsi="Nimbus Sans"/>
          <w:i/>
          <w:iCs/>
        </w:rPr>
        <w:t>a)</w:t>
      </w:r>
      <w:r>
        <w:rPr>
          <w:rFonts w:ascii="Nimbus Sans" w:hAnsi="Nimbus Sans"/>
        </w:rPr>
        <w:t xml:space="preserve"> Les exposants s'engagent à respecter les heures d'ouverture des marchés et à être présents en tout temps à leur kiosque durant celles-ci.</w:t>
      </w:r>
    </w:p>
    <w:p>
      <w:pPr>
        <w:pStyle w:val="Standard"/>
        <w:rPr/>
      </w:pPr>
      <w:bookmarkStart w:id="13" w:name="page20R_mcid18"/>
      <w:bookmarkStart w:id="14" w:name="page20R_mcid17"/>
      <w:bookmarkEnd w:id="13"/>
      <w:bookmarkEnd w:id="14"/>
      <w:r>
        <w:rPr>
          <w:rFonts w:ascii="Nimbus Sans" w:hAnsi="Nimbus Sans"/>
        </w:rPr>
        <w:br/>
      </w:r>
      <w:r>
        <w:rPr>
          <w:rFonts w:ascii="Nimbus Sans" w:hAnsi="Nimbus Sans"/>
          <w:i/>
          <w:iCs/>
        </w:rPr>
        <w:t>b)</w:t>
      </w:r>
      <w:r>
        <w:rPr>
          <w:rFonts w:ascii="Nimbus Sans" w:hAnsi="Nimbus Sans"/>
        </w:rPr>
        <w:t xml:space="preserve"> Les exposants peuvent arriver sur le site et commencer à s'installer dès 8h30. Leurs kiosques doivent être prêts et fonctionnels à partir de 9h45. </w:t>
      </w:r>
      <w:r>
        <w:rPr>
          <w:rFonts w:ascii="Nimbus Sans" w:hAnsi="Nimbus Sans"/>
          <w:u w:val="single"/>
        </w:rPr>
        <w:t>Aucun véhicule ne sera toléré sur le site après 9h45. À cette heure, des barrières seront installées à l’entrée du Marché et tout exposant retardataire devra se débrouiller sans véhicule pour l’installation de son kiosque.</w:t>
      </w:r>
    </w:p>
    <w:p>
      <w:pPr>
        <w:pStyle w:val="Standard"/>
        <w:rPr/>
      </w:pPr>
      <w:bookmarkStart w:id="15" w:name="page20R_mcid20"/>
      <w:bookmarkEnd w:id="15"/>
      <w:r>
        <w:rPr>
          <w:rFonts w:ascii="Nimbus Sans" w:hAnsi="Nimbus Sans"/>
        </w:rPr>
        <w:br/>
        <w:t>c</w:t>
      </w:r>
      <w:r>
        <w:rPr>
          <w:rFonts w:ascii="Nimbus Sans" w:hAnsi="Nimbus Sans"/>
          <w:i/>
          <w:iCs/>
        </w:rPr>
        <w:t>)</w:t>
      </w:r>
      <w:r>
        <w:rPr>
          <w:rFonts w:ascii="Nimbus Sans" w:hAnsi="Nimbus Sans"/>
        </w:rPr>
        <w:t xml:space="preserve"> Pour se voir accorder le droit de participer au marché, l’exposant doit, en plus d'être membre en règle du Marché public des Basques, avoir été sélectionné par le conseil d'administration, qui privilégiera les critères suivants :</w:t>
      </w:r>
    </w:p>
    <w:p>
      <w:pPr>
        <w:pStyle w:val="Standard"/>
        <w:rPr/>
      </w:pPr>
      <w:r>
        <w:rPr>
          <w:rFonts w:ascii="Nimbus Sans" w:hAnsi="Nimbus Sans"/>
          <w:b/>
          <w:bCs/>
          <w:u w:val="single"/>
        </w:rPr>
        <w:t xml:space="preserve">→ </w:t>
      </w:r>
      <w:r>
        <w:rPr>
          <w:rFonts w:ascii="Nimbus Sans" w:hAnsi="Nimbus Sans"/>
          <w:b/>
          <w:bCs/>
          <w:u w:val="single"/>
        </w:rPr>
        <w:t>L’absence de toute somme due au Marché public des Basques de la part de l’exposant;</w:t>
      </w:r>
    </w:p>
    <w:p>
      <w:pPr>
        <w:pStyle w:val="Standard"/>
        <w:rPr/>
      </w:pPr>
      <w:r>
        <w:rPr>
          <w:rFonts w:ascii="Nimbus Sans" w:hAnsi="Nimbus Sans"/>
          <w:b/>
          <w:bCs/>
          <w:u w:val="single"/>
        </w:rPr>
        <w:t xml:space="preserve">→ </w:t>
      </w:r>
      <w:r>
        <w:rPr>
          <w:rFonts w:ascii="Nimbus Sans" w:hAnsi="Nimbus Sans"/>
          <w:b/>
          <w:bCs/>
          <w:u w:val="single"/>
        </w:rPr>
        <w:t>La conformité passée de l’exposant aux Règles de fonctionnement, y compris d’avoir dûment fourni ses chiffres de ventes l’année précédente;</w:t>
      </w:r>
      <w:r>
        <w:rPr>
          <w:rFonts w:ascii="Nimbus Sans" w:hAnsi="Nimbus Sans"/>
        </w:rPr>
        <w:br/>
        <w:t>→ La variété, la qualité et la disponibilité des produits offerts;</w:t>
      </w:r>
      <w:bookmarkStart w:id="16" w:name="page20R_mcid22"/>
      <w:bookmarkEnd w:id="16"/>
      <w:r>
        <w:rPr>
          <w:rFonts w:ascii="Nimbus Sans" w:hAnsi="Nimbus Sans"/>
        </w:rPr>
        <w:br/>
        <w:t>→ La proximité des produits;</w:t>
      </w:r>
    </w:p>
    <w:p>
      <w:pPr>
        <w:pStyle w:val="Standard"/>
        <w:rPr>
          <w:rFonts w:ascii="Nimbus Sans" w:hAnsi="Nimbus Sans"/>
        </w:rPr>
      </w:pPr>
      <w:r>
        <w:rPr>
          <w:rFonts w:ascii="Nimbus Sans" w:hAnsi="Nimbus Sans"/>
        </w:rPr>
        <w:t xml:space="preserve">→ </w:t>
      </w:r>
      <w:r>
        <w:rPr>
          <w:rFonts w:ascii="Nimbus Sans" w:hAnsi="Nimbus Sans"/>
        </w:rPr>
        <w:t>L’ancienneté de l’exposant au sein du Marché public des Basques;</w:t>
      </w:r>
      <w:bookmarkStart w:id="17" w:name="page36R_mcid1"/>
      <w:bookmarkEnd w:id="17"/>
      <w:r>
        <w:rPr>
          <w:rFonts w:ascii="Nimbus Sans" w:hAnsi="Nimbus Sans"/>
        </w:rPr>
        <w:br/>
        <w:t>→ Le nombre de participations prévues de l’exposant au cours de la saison.</w:t>
      </w:r>
    </w:p>
    <w:p>
      <w:pPr>
        <w:pStyle w:val="Standard"/>
        <w:rPr>
          <w:rFonts w:ascii="Nimbus Sans" w:hAnsi="Nimbus Sans"/>
        </w:rPr>
      </w:pPr>
      <w:r>
        <w:rPr>
          <w:rFonts w:ascii="Nimbus Sans" w:hAnsi="Nimbus Sans"/>
        </w:rPr>
        <w:br/>
        <w:t>Le conseil d'administration sélectionne les exposants dans un souci d'équité et d'équilibre entre les types d'exposants (agroalimentaire et artisanal).</w:t>
      </w:r>
      <w:bookmarkStart w:id="18" w:name="page36R_mcid4"/>
      <w:bookmarkStart w:id="19" w:name="page36R_mcid5"/>
      <w:bookmarkEnd w:id="18"/>
      <w:bookmarkEnd w:id="19"/>
    </w:p>
    <w:p>
      <w:pPr>
        <w:pStyle w:val="Standard"/>
        <w:rPr>
          <w:rFonts w:ascii="Nimbus Sans" w:hAnsi="Nimbus Sans"/>
        </w:rPr>
      </w:pPr>
      <w:r>
        <w:rPr>
          <w:rFonts w:ascii="Nimbus Sans" w:hAnsi="Nimbus Sans"/>
        </w:rPr>
        <w:br/>
        <w:t>Le conseil d’administration se réserve le droit d’accueillir gratuitement un exposant ponctuel, par exemple les représentants d’un organisme communautaire, ou un animateur d’atelier dans le cadre de la programmation d’animations.</w:t>
      </w:r>
    </w:p>
    <w:p>
      <w:pPr>
        <w:pStyle w:val="Standard"/>
        <w:rPr>
          <w:rFonts w:ascii="Nimbus Sans" w:hAnsi="Nimbus Sans"/>
        </w:rPr>
      </w:pPr>
      <w:r>
        <w:rPr>
          <w:rFonts w:ascii="Nimbus Sans" w:hAnsi="Nimbus Sans"/>
        </w:rPr>
      </w:r>
    </w:p>
    <w:p>
      <w:pPr>
        <w:pStyle w:val="Standard"/>
        <w:rPr>
          <w:rFonts w:ascii="Nimbus Sans" w:hAnsi="Nimbus Sans"/>
          <w:b/>
          <w:b/>
          <w:bCs/>
          <w:u w:val="single"/>
        </w:rPr>
      </w:pPr>
      <w:r>
        <w:rPr>
          <w:rFonts w:ascii="Nimbus Sans" w:hAnsi="Nimbus Sans"/>
          <w:b/>
          <w:bCs/>
          <w:i/>
          <w:iCs/>
          <w:u w:val="single"/>
        </w:rPr>
        <w:t>d)</w:t>
      </w:r>
      <w:r>
        <w:rPr>
          <w:rFonts w:ascii="Nimbus Sans" w:hAnsi="Nimbus Sans"/>
          <w:b/>
          <w:bCs/>
          <w:u w:val="single"/>
        </w:rPr>
        <w:t xml:space="preserve"> À la signature du contrat de location, l'exposant s'engage à fournir un certain nombre d’heures de bénévolat au Marché public des Basques, proportionnellement à son nombre de jours de présence au Marché. Ces heures peuvent être consacrées au montage-démontage, à la recherche de financement ou à l’implication dans un sous-comité, par exemple </w:t>
      </w:r>
      <w:r>
        <w:rPr>
          <w:rFonts w:ascii="Nimbus Sans" w:hAnsi="Nimbus Sans"/>
          <w:b/>
          <w:bCs/>
          <w:u w:val="single"/>
        </w:rPr>
        <w:t>(communiquez avec la coordination pour plus d’informations sur les possibilités de contribution)</w:t>
      </w:r>
      <w:r>
        <w:rPr>
          <w:rFonts w:ascii="Nimbus Sans" w:hAnsi="Nimbus Sans"/>
          <w:b/>
          <w:bCs/>
          <w:u w:val="single"/>
        </w:rPr>
        <w:t>. La présence à l’assemblée générale annuelle précédant la saison compte pour 2 heures d’implication. L’aide au montage ou au démontage compte pour 1 heure.</w:t>
      </w:r>
    </w:p>
    <w:p>
      <w:pPr>
        <w:pStyle w:val="Standard"/>
        <w:rPr>
          <w:rFonts w:ascii="Nimbus Sans" w:hAnsi="Nimbus Sans"/>
          <w:b/>
          <w:b/>
          <w:bCs/>
          <w:u w:val="single"/>
        </w:rPr>
      </w:pPr>
      <w:r>
        <w:rPr/>
      </w:r>
    </w:p>
    <w:p>
      <w:pPr>
        <w:pStyle w:val="Standard"/>
        <w:rPr>
          <w:b/>
          <w:b/>
          <w:bCs/>
          <w:u w:val="single"/>
        </w:rPr>
      </w:pPr>
      <w:r>
        <w:rPr>
          <w:rFonts w:ascii="Nimbus Sans" w:hAnsi="Nimbus Sans"/>
          <w:b/>
          <w:bCs/>
          <w:u w:val="single"/>
        </w:rPr>
        <w:t xml:space="preserve">Le montant associé au nombre d’heures sera facturé à </w:t>
      </w:r>
      <w:r>
        <w:rPr>
          <w:rFonts w:ascii="Nimbus Sans" w:hAnsi="Nimbus Sans"/>
          <w:b/>
          <w:bCs/>
          <w:u w:val="single"/>
        </w:rPr>
        <w:t>l’inscription</w:t>
      </w:r>
      <w:r>
        <w:rPr>
          <w:rFonts w:ascii="Nimbus Sans" w:hAnsi="Nimbus Sans"/>
          <w:b/>
          <w:bCs/>
          <w:u w:val="single"/>
        </w:rPr>
        <w:t>. À la fin de l</w:t>
      </w:r>
      <w:r>
        <w:rPr>
          <w:rFonts w:ascii="Nimbus Sans" w:hAnsi="Nimbus Sans"/>
          <w:b/>
          <w:bCs/>
          <w:u w:val="single"/>
        </w:rPr>
        <w:t>a saison</w:t>
      </w:r>
      <w:r>
        <w:rPr>
          <w:rFonts w:ascii="Nimbus Sans" w:hAnsi="Nimbus Sans"/>
          <w:b/>
          <w:bCs/>
          <w:u w:val="single"/>
        </w:rPr>
        <w:t xml:space="preserve">, ces montants seront </w:t>
      </w:r>
      <w:r>
        <w:rPr>
          <w:rFonts w:ascii="Nimbus Sans" w:hAnsi="Nimbus Sans"/>
          <w:b/>
          <w:bCs/>
          <w:u w:val="single"/>
        </w:rPr>
        <w:t>remboursés</w:t>
      </w:r>
      <w:r>
        <w:rPr>
          <w:rFonts w:ascii="Nimbus Sans" w:hAnsi="Nimbus Sans"/>
          <w:b/>
          <w:bCs/>
          <w:u w:val="single"/>
        </w:rPr>
        <w:t xml:space="preserve"> </w:t>
      </w:r>
      <w:r>
        <w:rPr>
          <w:rFonts w:ascii="Nimbus Sans" w:hAnsi="Nimbus Sans"/>
          <w:b/>
          <w:bCs/>
          <w:u w:val="single"/>
        </w:rPr>
        <w:t>au prorata</w:t>
      </w:r>
      <w:r>
        <w:rPr>
          <w:rFonts w:ascii="Nimbus Sans" w:hAnsi="Nimbus Sans"/>
          <w:b/>
          <w:bCs/>
          <w:u w:val="single"/>
        </w:rPr>
        <w:t xml:space="preserve"> des heures complétées.</w:t>
      </w:r>
    </w:p>
    <w:p>
      <w:pPr>
        <w:pStyle w:val="Standard"/>
        <w:rPr>
          <w:rFonts w:ascii="Nimbus Sans" w:hAnsi="Nimbus Sans"/>
          <w:b/>
          <w:b/>
          <w:bCs/>
          <w:u w:val="single"/>
        </w:rPr>
      </w:pPr>
      <w:r>
        <w:rPr>
          <w:rFonts w:ascii="Nimbus Sans" w:hAnsi="Nimbus Sans"/>
          <w:b/>
          <w:bCs/>
          <w:u w:val="single"/>
        </w:rPr>
      </w:r>
    </w:p>
    <w:tbl>
      <w:tblPr>
        <w:tblW w:w="9972"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3324"/>
        <w:gridCol w:w="3324"/>
        <w:gridCol w:w="3324"/>
      </w:tblGrid>
      <w:tr>
        <w:trPr/>
        <w:tc>
          <w:tcPr>
            <w:tcW w:w="3324" w:type="dxa"/>
            <w:tcBorders>
              <w:top w:val="single" w:sz="2" w:space="0" w:color="000000"/>
              <w:left w:val="single" w:sz="2" w:space="0" w:color="000000"/>
              <w:bottom w:val="single" w:sz="2" w:space="0" w:color="000000"/>
            </w:tcBorders>
          </w:tcPr>
          <w:p>
            <w:pPr>
              <w:pStyle w:val="Contenudetableau"/>
              <w:widowControl w:val="false"/>
              <w:jc w:val="center"/>
              <w:rPr>
                <w:rFonts w:ascii="Ubuntu" w:hAnsi="Ubuntu"/>
                <w:b/>
                <w:b/>
                <w:bCs/>
                <w:sz w:val="28"/>
                <w:szCs w:val="28"/>
                <w:u w:val="single"/>
              </w:rPr>
            </w:pPr>
            <w:r>
              <w:rPr>
                <w:rFonts w:ascii="Ubuntu" w:hAnsi="Ubuntu"/>
                <w:b/>
                <w:bCs/>
                <w:sz w:val="28"/>
                <w:szCs w:val="28"/>
                <w:u w:val="single"/>
              </w:rPr>
              <w:t>Nombre de présences au Marché</w:t>
            </w:r>
          </w:p>
        </w:tc>
        <w:tc>
          <w:tcPr>
            <w:tcW w:w="3324" w:type="dxa"/>
            <w:tcBorders>
              <w:top w:val="single" w:sz="2" w:space="0" w:color="000000"/>
              <w:left w:val="single" w:sz="2" w:space="0" w:color="000000"/>
              <w:bottom w:val="single" w:sz="2" w:space="0" w:color="000000"/>
            </w:tcBorders>
          </w:tcPr>
          <w:p>
            <w:pPr>
              <w:pStyle w:val="Contenudetableau"/>
              <w:widowControl w:val="false"/>
              <w:jc w:val="center"/>
              <w:rPr>
                <w:rFonts w:ascii="Ubuntu" w:hAnsi="Ubuntu"/>
                <w:b/>
                <w:b/>
                <w:bCs/>
                <w:sz w:val="28"/>
                <w:szCs w:val="28"/>
                <w:u w:val="single"/>
              </w:rPr>
            </w:pPr>
            <w:r>
              <w:rPr>
                <w:rFonts w:ascii="Ubuntu" w:hAnsi="Ubuntu"/>
                <w:b/>
                <w:bCs/>
                <w:sz w:val="28"/>
                <w:szCs w:val="28"/>
                <w:u w:val="single"/>
              </w:rPr>
              <w:t>Nombre d’heures exigé</w:t>
            </w:r>
          </w:p>
        </w:tc>
        <w:tc>
          <w:tcPr>
            <w:tcW w:w="3324" w:type="dxa"/>
            <w:tcBorders>
              <w:top w:val="single" w:sz="2" w:space="0" w:color="000000"/>
              <w:left w:val="single" w:sz="2" w:space="0" w:color="000000"/>
              <w:bottom w:val="single" w:sz="2" w:space="0" w:color="000000"/>
              <w:right w:val="single" w:sz="2" w:space="0" w:color="000000"/>
            </w:tcBorders>
          </w:tcPr>
          <w:p>
            <w:pPr>
              <w:pStyle w:val="Contenudetableau"/>
              <w:widowControl w:val="false"/>
              <w:jc w:val="center"/>
              <w:rPr>
                <w:rFonts w:ascii="Ubuntu" w:hAnsi="Ubuntu"/>
                <w:b/>
                <w:b/>
                <w:bCs/>
                <w:sz w:val="28"/>
                <w:szCs w:val="28"/>
                <w:u w:val="single"/>
              </w:rPr>
            </w:pPr>
            <w:r>
              <w:rPr>
                <w:rFonts w:ascii="Ubuntu" w:hAnsi="Ubuntu"/>
                <w:b/>
                <w:bCs/>
                <w:sz w:val="28"/>
                <w:szCs w:val="28"/>
                <w:u w:val="single"/>
              </w:rPr>
              <w:t>Équivalent financier</w:t>
            </w:r>
          </w:p>
        </w:tc>
      </w:tr>
      <w:tr>
        <w:trPr/>
        <w:tc>
          <w:tcPr>
            <w:tcW w:w="3324" w:type="dxa"/>
            <w:tcBorders>
              <w:left w:val="single" w:sz="2" w:space="0" w:color="000000"/>
              <w:bottom w:val="single" w:sz="2" w:space="0" w:color="000000"/>
            </w:tcBorders>
          </w:tcPr>
          <w:p>
            <w:pPr>
              <w:pStyle w:val="Contenudetableau"/>
              <w:widowControl w:val="false"/>
              <w:jc w:val="center"/>
              <w:rPr>
                <w:rFonts w:ascii="Ubuntu" w:hAnsi="Ubuntu"/>
                <w:b/>
                <w:b/>
                <w:bCs/>
                <w:sz w:val="28"/>
                <w:szCs w:val="28"/>
                <w:u w:val="single"/>
              </w:rPr>
            </w:pPr>
            <w:r>
              <w:rPr>
                <w:rFonts w:ascii="Ubuntu" w:hAnsi="Ubuntu"/>
                <w:b/>
                <w:bCs/>
                <w:sz w:val="28"/>
                <w:szCs w:val="28"/>
                <w:u w:val="single"/>
              </w:rPr>
              <w:t>2</w:t>
            </w:r>
            <w:r>
              <w:rPr>
                <w:rFonts w:ascii="Ubuntu" w:hAnsi="Ubuntu"/>
                <w:b/>
                <w:bCs/>
                <w:sz w:val="28"/>
                <w:szCs w:val="28"/>
                <w:u w:val="single"/>
              </w:rPr>
              <w:t xml:space="preserve"> à 4</w:t>
            </w:r>
          </w:p>
        </w:tc>
        <w:tc>
          <w:tcPr>
            <w:tcW w:w="3324" w:type="dxa"/>
            <w:tcBorders>
              <w:left w:val="single" w:sz="2" w:space="0" w:color="000000"/>
              <w:bottom w:val="single" w:sz="2" w:space="0" w:color="000000"/>
            </w:tcBorders>
          </w:tcPr>
          <w:p>
            <w:pPr>
              <w:pStyle w:val="Contenudetableau"/>
              <w:widowControl w:val="false"/>
              <w:jc w:val="center"/>
              <w:rPr>
                <w:rFonts w:ascii="Ubuntu" w:hAnsi="Ubuntu"/>
                <w:b/>
                <w:b/>
                <w:bCs/>
                <w:sz w:val="28"/>
                <w:szCs w:val="28"/>
                <w:u w:val="single"/>
              </w:rPr>
            </w:pPr>
            <w:r>
              <w:rPr>
                <w:rFonts w:ascii="Ubuntu" w:hAnsi="Ubuntu"/>
                <w:b/>
                <w:bCs/>
                <w:sz w:val="28"/>
                <w:szCs w:val="28"/>
                <w:u w:val="single"/>
              </w:rPr>
              <w:t>2</w:t>
            </w:r>
          </w:p>
        </w:tc>
        <w:tc>
          <w:tcPr>
            <w:tcW w:w="3324" w:type="dxa"/>
            <w:tcBorders>
              <w:left w:val="single" w:sz="2" w:space="0" w:color="000000"/>
              <w:bottom w:val="single" w:sz="2" w:space="0" w:color="000000"/>
              <w:right w:val="single" w:sz="2" w:space="0" w:color="000000"/>
            </w:tcBorders>
          </w:tcPr>
          <w:p>
            <w:pPr>
              <w:pStyle w:val="Contenudetableau"/>
              <w:widowControl w:val="false"/>
              <w:jc w:val="center"/>
              <w:rPr>
                <w:rFonts w:ascii="Ubuntu" w:hAnsi="Ubuntu"/>
                <w:b/>
                <w:b/>
                <w:bCs/>
                <w:sz w:val="28"/>
                <w:szCs w:val="28"/>
                <w:u w:val="single"/>
              </w:rPr>
            </w:pPr>
            <w:r>
              <w:rPr>
                <w:rFonts w:ascii="Ubuntu" w:hAnsi="Ubuntu"/>
                <w:b/>
                <w:bCs/>
                <w:sz w:val="28"/>
                <w:szCs w:val="28"/>
                <w:u w:val="single"/>
              </w:rPr>
              <w:t>5</w:t>
            </w:r>
            <w:r>
              <w:rPr>
                <w:rFonts w:ascii="Ubuntu" w:hAnsi="Ubuntu"/>
                <w:b/>
                <w:bCs/>
                <w:sz w:val="28"/>
                <w:szCs w:val="28"/>
                <w:u w:val="single"/>
              </w:rPr>
              <w:t>0$</w:t>
            </w:r>
          </w:p>
        </w:tc>
      </w:tr>
      <w:tr>
        <w:trPr/>
        <w:tc>
          <w:tcPr>
            <w:tcW w:w="3324" w:type="dxa"/>
            <w:tcBorders>
              <w:left w:val="single" w:sz="2" w:space="0" w:color="000000"/>
              <w:bottom w:val="single" w:sz="2" w:space="0" w:color="000000"/>
            </w:tcBorders>
          </w:tcPr>
          <w:p>
            <w:pPr>
              <w:pStyle w:val="Contenudetableau"/>
              <w:widowControl w:val="false"/>
              <w:jc w:val="center"/>
              <w:rPr>
                <w:rFonts w:ascii="Ubuntu" w:hAnsi="Ubuntu"/>
                <w:b/>
                <w:b/>
                <w:bCs/>
                <w:sz w:val="28"/>
                <w:szCs w:val="28"/>
                <w:u w:val="single"/>
              </w:rPr>
            </w:pPr>
            <w:r>
              <w:rPr>
                <w:rFonts w:ascii="Ubuntu" w:hAnsi="Ubuntu"/>
                <w:b/>
                <w:bCs/>
                <w:sz w:val="28"/>
                <w:szCs w:val="28"/>
                <w:u w:val="single"/>
              </w:rPr>
              <w:t>5 à 10</w:t>
            </w:r>
          </w:p>
        </w:tc>
        <w:tc>
          <w:tcPr>
            <w:tcW w:w="3324" w:type="dxa"/>
            <w:tcBorders>
              <w:left w:val="single" w:sz="2" w:space="0" w:color="000000"/>
              <w:bottom w:val="single" w:sz="2" w:space="0" w:color="000000"/>
            </w:tcBorders>
          </w:tcPr>
          <w:p>
            <w:pPr>
              <w:pStyle w:val="Contenudetableau"/>
              <w:widowControl w:val="false"/>
              <w:jc w:val="center"/>
              <w:rPr>
                <w:rFonts w:ascii="Ubuntu" w:hAnsi="Ubuntu"/>
                <w:b/>
                <w:b/>
                <w:bCs/>
                <w:sz w:val="28"/>
                <w:szCs w:val="28"/>
                <w:u w:val="single"/>
              </w:rPr>
            </w:pPr>
            <w:r>
              <w:rPr>
                <w:rFonts w:ascii="Ubuntu" w:hAnsi="Ubuntu"/>
                <w:b/>
                <w:bCs/>
                <w:sz w:val="28"/>
                <w:szCs w:val="28"/>
                <w:u w:val="single"/>
              </w:rPr>
              <w:t>6</w:t>
            </w:r>
          </w:p>
        </w:tc>
        <w:tc>
          <w:tcPr>
            <w:tcW w:w="3324" w:type="dxa"/>
            <w:tcBorders>
              <w:left w:val="single" w:sz="2" w:space="0" w:color="000000"/>
              <w:bottom w:val="single" w:sz="2" w:space="0" w:color="000000"/>
              <w:right w:val="single" w:sz="2" w:space="0" w:color="000000"/>
            </w:tcBorders>
          </w:tcPr>
          <w:p>
            <w:pPr>
              <w:pStyle w:val="Contenudetableau"/>
              <w:widowControl w:val="false"/>
              <w:jc w:val="center"/>
              <w:rPr>
                <w:rFonts w:ascii="Ubuntu" w:hAnsi="Ubuntu"/>
                <w:b/>
                <w:b/>
                <w:bCs/>
                <w:sz w:val="28"/>
                <w:szCs w:val="28"/>
                <w:u w:val="single"/>
              </w:rPr>
            </w:pPr>
            <w:r>
              <w:rPr>
                <w:rFonts w:ascii="Ubuntu" w:hAnsi="Ubuntu"/>
                <w:b/>
                <w:bCs/>
                <w:sz w:val="28"/>
                <w:szCs w:val="28"/>
                <w:u w:val="single"/>
              </w:rPr>
              <w:t>1</w:t>
            </w:r>
            <w:r>
              <w:rPr>
                <w:rFonts w:ascii="Ubuntu" w:hAnsi="Ubuntu"/>
                <w:b/>
                <w:bCs/>
                <w:sz w:val="28"/>
                <w:szCs w:val="28"/>
                <w:u w:val="single"/>
              </w:rPr>
              <w:t>5</w:t>
            </w:r>
            <w:r>
              <w:rPr>
                <w:rFonts w:ascii="Ubuntu" w:hAnsi="Ubuntu"/>
                <w:b/>
                <w:bCs/>
                <w:sz w:val="28"/>
                <w:szCs w:val="28"/>
                <w:u w:val="single"/>
              </w:rPr>
              <w:t>0$</w:t>
            </w:r>
          </w:p>
        </w:tc>
      </w:tr>
      <w:tr>
        <w:trPr/>
        <w:tc>
          <w:tcPr>
            <w:tcW w:w="3324" w:type="dxa"/>
            <w:tcBorders>
              <w:left w:val="single" w:sz="2" w:space="0" w:color="000000"/>
              <w:bottom w:val="single" w:sz="2" w:space="0" w:color="000000"/>
            </w:tcBorders>
          </w:tcPr>
          <w:p>
            <w:pPr>
              <w:pStyle w:val="Contenudetableau"/>
              <w:widowControl w:val="false"/>
              <w:jc w:val="center"/>
              <w:rPr>
                <w:rFonts w:ascii="Ubuntu" w:hAnsi="Ubuntu"/>
                <w:b/>
                <w:b/>
                <w:bCs/>
                <w:sz w:val="28"/>
                <w:szCs w:val="28"/>
                <w:u w:val="single"/>
              </w:rPr>
            </w:pPr>
            <w:r>
              <w:rPr>
                <w:rFonts w:ascii="Ubuntu" w:hAnsi="Ubuntu"/>
                <w:b/>
                <w:bCs/>
                <w:sz w:val="28"/>
                <w:szCs w:val="28"/>
                <w:u w:val="single"/>
              </w:rPr>
              <w:t>11 à 18</w:t>
            </w:r>
          </w:p>
        </w:tc>
        <w:tc>
          <w:tcPr>
            <w:tcW w:w="3324" w:type="dxa"/>
            <w:tcBorders>
              <w:left w:val="single" w:sz="2" w:space="0" w:color="000000"/>
              <w:bottom w:val="single" w:sz="2" w:space="0" w:color="000000"/>
            </w:tcBorders>
          </w:tcPr>
          <w:p>
            <w:pPr>
              <w:pStyle w:val="Contenudetableau"/>
              <w:widowControl w:val="false"/>
              <w:jc w:val="center"/>
              <w:rPr>
                <w:rFonts w:ascii="Ubuntu" w:hAnsi="Ubuntu"/>
                <w:b/>
                <w:b/>
                <w:bCs/>
                <w:sz w:val="28"/>
                <w:szCs w:val="28"/>
                <w:u w:val="single"/>
              </w:rPr>
            </w:pPr>
            <w:r>
              <w:rPr>
                <w:rFonts w:ascii="Ubuntu" w:hAnsi="Ubuntu"/>
                <w:b/>
                <w:bCs/>
                <w:sz w:val="28"/>
                <w:szCs w:val="28"/>
                <w:u w:val="single"/>
              </w:rPr>
              <w:t>10</w:t>
            </w:r>
          </w:p>
        </w:tc>
        <w:tc>
          <w:tcPr>
            <w:tcW w:w="3324" w:type="dxa"/>
            <w:tcBorders>
              <w:left w:val="single" w:sz="2" w:space="0" w:color="000000"/>
              <w:bottom w:val="single" w:sz="2" w:space="0" w:color="000000"/>
              <w:right w:val="single" w:sz="2" w:space="0" w:color="000000"/>
            </w:tcBorders>
          </w:tcPr>
          <w:p>
            <w:pPr>
              <w:pStyle w:val="Contenudetableau"/>
              <w:widowControl w:val="false"/>
              <w:jc w:val="center"/>
              <w:rPr>
                <w:rFonts w:ascii="Ubuntu" w:hAnsi="Ubuntu"/>
                <w:b/>
                <w:b/>
                <w:bCs/>
                <w:sz w:val="28"/>
                <w:szCs w:val="28"/>
                <w:u w:val="single"/>
              </w:rPr>
            </w:pPr>
            <w:r>
              <w:rPr>
                <w:rFonts w:ascii="Ubuntu" w:hAnsi="Ubuntu"/>
                <w:b/>
                <w:bCs/>
                <w:sz w:val="28"/>
                <w:szCs w:val="28"/>
                <w:u w:val="single"/>
              </w:rPr>
              <w:t>2</w:t>
            </w:r>
            <w:r>
              <w:rPr>
                <w:rFonts w:ascii="Ubuntu" w:hAnsi="Ubuntu"/>
                <w:b/>
                <w:bCs/>
                <w:sz w:val="28"/>
                <w:szCs w:val="28"/>
                <w:u w:val="single"/>
              </w:rPr>
              <w:t>0</w:t>
            </w:r>
            <w:r>
              <w:rPr>
                <w:rFonts w:ascii="Ubuntu" w:hAnsi="Ubuntu"/>
                <w:b/>
                <w:bCs/>
                <w:sz w:val="28"/>
                <w:szCs w:val="28"/>
                <w:u w:val="single"/>
              </w:rPr>
              <w:t>0$</w:t>
            </w:r>
          </w:p>
        </w:tc>
      </w:tr>
    </w:tbl>
    <w:p>
      <w:pPr>
        <w:pStyle w:val="Standard"/>
        <w:rPr>
          <w:rFonts w:ascii="Nimbus Sans" w:hAnsi="Nimbus Sans"/>
          <w:b/>
          <w:b/>
          <w:bCs/>
          <w:u w:val="single"/>
        </w:rPr>
      </w:pPr>
      <w:r>
        <w:rPr>
          <w:rFonts w:ascii="Nimbus Sans" w:hAnsi="Nimbus Sans"/>
          <w:b/>
          <w:bCs/>
          <w:u w:val="single"/>
        </w:rPr>
      </w:r>
    </w:p>
    <w:p>
      <w:pPr>
        <w:pStyle w:val="Standard"/>
        <w:rPr>
          <w:rFonts w:ascii="Nimbus Sans" w:hAnsi="Nimbus Sans"/>
        </w:rPr>
      </w:pPr>
      <w:r>
        <w:rPr>
          <w:rFonts w:ascii="Nimbus Sans" w:hAnsi="Nimbus Sans"/>
          <w:b/>
          <w:bCs/>
        </w:rPr>
        <w:t>6. Permis et réglementation</w:t>
      </w:r>
      <w:bookmarkStart w:id="20" w:name="page36R_mcid8"/>
      <w:bookmarkStart w:id="21" w:name="page36R_mcid9"/>
      <w:bookmarkEnd w:id="20"/>
      <w:bookmarkEnd w:id="21"/>
      <w:r>
        <w:rPr>
          <w:rFonts w:ascii="Nimbus Sans" w:hAnsi="Nimbus Sans"/>
        </w:rPr>
        <w:br/>
        <w:t>L’exposant doit se soumettre en tout temps aux Lois et Réglementations en vigueur. Il a la</w:t>
        <w:br/>
        <w:t>responsabilité de s’assurer d’avoir toutes les autorisations nécessaires des diverses instances</w:t>
        <w:br/>
        <w:t>gouvernementales. Le Marché public des Basques ne prend pas en charge la surveillance et la distribution d’informations à cet effet auprès des exposants. De plus, les exposants doivent</w:t>
        <w:br/>
        <w:t>respecter les normes d’hygiène et de salubrité du MAPAQ et d’étiquetage de l’ACIA.</w:t>
      </w:r>
    </w:p>
    <w:p>
      <w:pPr>
        <w:pStyle w:val="Standard"/>
        <w:rPr>
          <w:rFonts w:ascii="Nimbus Sans" w:hAnsi="Nimbus Sans"/>
          <w:b/>
          <w:b/>
          <w:bCs/>
        </w:rPr>
      </w:pPr>
      <w:r>
        <w:rPr>
          <w:rFonts w:ascii="Nimbus Sans" w:hAnsi="Nimbus Sans"/>
          <w:b/>
          <w:bCs/>
        </w:rPr>
      </w:r>
    </w:p>
    <w:p>
      <w:pPr>
        <w:pStyle w:val="Standard"/>
        <w:rPr>
          <w:rFonts w:ascii="Nimbus Sans" w:hAnsi="Nimbus Sans"/>
        </w:rPr>
      </w:pPr>
      <w:r>
        <w:rPr>
          <w:rFonts w:ascii="Nimbus Sans" w:hAnsi="Nimbus Sans"/>
          <w:b/>
          <w:bCs/>
        </w:rPr>
        <w:t>7. Assurance responsabilité</w:t>
      </w:r>
      <w:bookmarkStart w:id="22" w:name="page36R_mcid13"/>
      <w:bookmarkStart w:id="23" w:name="page36R_mcid12"/>
      <w:bookmarkEnd w:id="22"/>
      <w:bookmarkEnd w:id="23"/>
      <w:r>
        <w:rPr>
          <w:rFonts w:ascii="Nimbus Sans" w:hAnsi="Nimbus Sans"/>
          <w:b/>
          <w:bCs/>
        </w:rPr>
        <w:t xml:space="preserve"> civile</w:t>
      </w:r>
      <w:r>
        <w:rPr>
          <w:rFonts w:ascii="Nimbus Sans" w:hAnsi="Nimbus Sans"/>
        </w:rPr>
        <w:br/>
        <w:t>L’exposant s’engage à fournir, avec son contrat, une preuve d’assurance responsabilité civile</w:t>
      </w:r>
      <w:bookmarkStart w:id="24" w:name="page36R_mcid14"/>
      <w:bookmarkStart w:id="25" w:name="page36R_mcid15"/>
      <w:bookmarkEnd w:id="24"/>
      <w:bookmarkEnd w:id="25"/>
      <w:r>
        <w:rPr>
          <w:rFonts w:ascii="Nimbus Sans" w:hAnsi="Nimbus Sans"/>
        </w:rPr>
        <w:t xml:space="preserve"> </w:t>
      </w:r>
      <w:r>
        <w:rPr>
          <w:rFonts w:ascii="Nimbus Sans" w:hAnsi="Nimbus Sans"/>
          <w:b/>
          <w:bCs/>
          <w:u w:val="single"/>
        </w:rPr>
        <w:t>de 2 millions de dollars, exigée par l’assureur du Marché public des Basques.</w:t>
      </w:r>
    </w:p>
    <w:p>
      <w:pPr>
        <w:pStyle w:val="Standard"/>
        <w:rPr>
          <w:rFonts w:ascii="Nimbus Sans" w:hAnsi="Nimbus Sans"/>
        </w:rPr>
      </w:pPr>
      <w:r>
        <w:rPr>
          <w:rFonts w:ascii="Nimbus Sans" w:hAnsi="Nimbus Sans"/>
        </w:rPr>
      </w:r>
    </w:p>
    <w:p>
      <w:pPr>
        <w:pStyle w:val="Standard"/>
        <w:rPr>
          <w:rFonts w:ascii="Nimbus Sans" w:hAnsi="Nimbus Sans"/>
        </w:rPr>
      </w:pPr>
      <w:r>
        <w:rPr>
          <w:rFonts w:ascii="Nimbus Sans" w:hAnsi="Nimbus Sans"/>
          <w:b/>
          <w:bCs/>
        </w:rPr>
        <w:t>8. Hygiène</w:t>
      </w:r>
      <w:bookmarkStart w:id="26" w:name="page36R_mcid17"/>
      <w:bookmarkStart w:id="27" w:name="page36R_mcid16"/>
      <w:bookmarkEnd w:id="26"/>
      <w:bookmarkEnd w:id="27"/>
      <w:r>
        <w:rPr>
          <w:rFonts w:ascii="Nimbus Sans" w:hAnsi="Nimbus Sans"/>
        </w:rPr>
        <w:br/>
        <w:t xml:space="preserve">L’exposant est responsable du maintien de son étal, qui doit être propre en tout temps. À la fin de la journée d’opération, l’exposant doit nettoyer son kiosque </w:t>
      </w:r>
      <w:r>
        <w:rPr>
          <w:rFonts w:ascii="Nimbus Sans" w:hAnsi="Nimbus Sans"/>
        </w:rPr>
        <w:t xml:space="preserve">et sa/ses table(s) </w:t>
      </w:r>
      <w:r>
        <w:rPr>
          <w:rFonts w:ascii="Nimbus Sans" w:hAnsi="Nimbus Sans"/>
        </w:rPr>
        <w:t>et disposer de manière intelligente et ordonnée de ses déchets.</w:t>
      </w:r>
    </w:p>
    <w:p>
      <w:pPr>
        <w:pStyle w:val="Standard"/>
        <w:rPr>
          <w:rFonts w:ascii="Nimbus Sans" w:hAnsi="Nimbus Sans"/>
          <w:strike/>
          <w:highlight w:val="yellow"/>
        </w:rPr>
      </w:pPr>
      <w:r>
        <w:rPr>
          <w:rFonts w:ascii="Nimbus Sans" w:hAnsi="Nimbus Sans"/>
          <w:strike/>
          <w:highlight w:val="yellow"/>
        </w:rPr>
      </w:r>
    </w:p>
    <w:p>
      <w:pPr>
        <w:pStyle w:val="Standard"/>
        <w:rPr>
          <w:rFonts w:ascii="Nimbus Sans" w:hAnsi="Nimbus Sans"/>
          <w:b/>
          <w:b/>
          <w:bCs/>
          <w:color w:val="FF0000"/>
          <w:u w:val="single"/>
        </w:rPr>
      </w:pPr>
      <w:r>
        <w:rPr>
          <w:rFonts w:ascii="Nimbus Sans" w:hAnsi="Nimbus Sans"/>
          <w:b/>
          <w:bCs/>
        </w:rPr>
        <w:t>9. Stationnement</w:t>
      </w:r>
      <w:bookmarkStart w:id="28" w:name="page36R_mcid20"/>
      <w:bookmarkStart w:id="29" w:name="page36R_mcid21"/>
      <w:bookmarkEnd w:id="28"/>
      <w:bookmarkEnd w:id="29"/>
      <w:r>
        <w:rPr>
          <w:rFonts w:ascii="Nimbus Sans" w:hAnsi="Nimbus Sans"/>
        </w:rPr>
        <w:br/>
      </w:r>
      <w:r>
        <w:rPr>
          <w:rFonts w:ascii="Nimbus Sans" w:hAnsi="Nimbus Sans"/>
          <w:b/>
          <w:bCs/>
          <w:u w:val="single"/>
        </w:rPr>
        <w:t xml:space="preserve">Il est interdit de stationner sa voiture </w:t>
      </w:r>
      <w:bookmarkStart w:id="30" w:name="page36R_mcid22"/>
      <w:bookmarkStart w:id="31" w:name="page36R_mcid23"/>
      <w:bookmarkEnd w:id="30"/>
      <w:bookmarkEnd w:id="31"/>
      <w:r>
        <w:rPr>
          <w:rFonts w:ascii="Nimbus Sans" w:hAnsi="Nimbus Sans"/>
          <w:b/>
          <w:bCs/>
          <w:u w:val="single"/>
        </w:rPr>
        <w:t>à quelque endroit que ce soit sur le tronçon de la rue Pelletier situé entre la rue Jean-Rioux et la rue Vézina, y compris dans les stationnements du 21, 23 et 25 rue Pelletier.</w:t>
      </w:r>
      <w:r>
        <w:rPr>
          <w:rFonts w:ascii="Nimbus Sans" w:hAnsi="Nimbus Sans"/>
          <w:b/>
          <w:bCs/>
          <w:color w:val="FF0000"/>
          <w:u w:val="single"/>
        </w:rPr>
        <w:br/>
      </w:r>
    </w:p>
    <w:p>
      <w:pPr>
        <w:pStyle w:val="Standard"/>
        <w:rPr>
          <w:rFonts w:ascii="Nimbus Sans" w:hAnsi="Nimbus Sans"/>
        </w:rPr>
      </w:pPr>
      <w:r>
        <w:rPr>
          <w:rFonts w:ascii="Nimbus Sans" w:hAnsi="Nimbus Sans"/>
          <w:b/>
          <w:bCs/>
          <w:u w:val="single"/>
        </w:rPr>
        <w:t>Veuillez stationner votre véhicule dans les espaces appropriés et permis par la signalisation routière</w:t>
      </w:r>
      <w:bookmarkStart w:id="32" w:name="page36R_mcid25"/>
      <w:bookmarkStart w:id="33" w:name="page36R_mcid24"/>
      <w:bookmarkEnd w:id="32"/>
      <w:bookmarkEnd w:id="33"/>
      <w:r>
        <w:rPr>
          <w:rFonts w:ascii="Nimbus Sans" w:hAnsi="Nimbus Sans"/>
          <w:b/>
          <w:bCs/>
          <w:u w:val="single"/>
        </w:rPr>
        <w:t>; le stationnement de l’église de Trois-Pistoles est généralement disponible.</w:t>
      </w:r>
      <w:r>
        <w:rPr>
          <w:rFonts w:ascii="Nimbus Sans" w:hAnsi="Nimbus Sans"/>
        </w:rPr>
        <w:br/>
      </w:r>
    </w:p>
    <w:p>
      <w:pPr>
        <w:pStyle w:val="Standard"/>
        <w:rPr/>
      </w:pPr>
      <w:r>
        <w:rPr>
          <w:rFonts w:ascii="Nimbus Sans" w:hAnsi="Nimbus Sans"/>
        </w:rPr>
        <w:t>Des modifications peuvent être apportées en fonction d’activités et d’animation lors des marchés.</w:t>
      </w:r>
    </w:p>
    <w:p>
      <w:pPr>
        <w:pStyle w:val="Standard"/>
        <w:rPr>
          <w:rFonts w:ascii="Nimbus Sans" w:hAnsi="Nimbus Sans"/>
        </w:rPr>
      </w:pPr>
      <w:r>
        <w:rPr>
          <w:rFonts w:ascii="Nimbus Sans" w:hAnsi="Nimbus Sans"/>
        </w:rPr>
      </w:r>
    </w:p>
    <w:p>
      <w:pPr>
        <w:pStyle w:val="Standard"/>
        <w:rPr/>
      </w:pPr>
      <w:r>
        <w:rPr>
          <w:rFonts w:ascii="Nimbus Sans" w:hAnsi="Nimbus Sans"/>
          <w:b/>
          <w:bCs/>
        </w:rPr>
        <w:t>10. Affichage et information</w:t>
      </w:r>
      <w:bookmarkStart w:id="34" w:name="page36R_mcid29"/>
      <w:bookmarkStart w:id="35" w:name="page36R_mcid28"/>
      <w:bookmarkEnd w:id="34"/>
      <w:bookmarkEnd w:id="35"/>
      <w:r>
        <w:rPr>
          <w:rFonts w:ascii="Nimbus Sans" w:hAnsi="Nimbus Sans"/>
        </w:rPr>
        <w:br/>
        <w:t>Les exposants doivent en tout temps afficher clairement le prix de chacun de leurs produits, à la vue des clients.</w:t>
      </w:r>
    </w:p>
    <w:p>
      <w:pPr>
        <w:pStyle w:val="Standard"/>
        <w:rPr>
          <w:rFonts w:ascii="Nimbus Sans" w:hAnsi="Nimbus Sans"/>
        </w:rPr>
      </w:pPr>
      <w:r>
        <w:rPr>
          <w:rFonts w:ascii="Nimbus Sans" w:hAnsi="Nimbus Sans"/>
        </w:rPr>
      </w:r>
      <w:bookmarkStart w:id="36" w:name="page36R_mcid30"/>
      <w:bookmarkStart w:id="37" w:name="page36R_mcid30"/>
      <w:bookmarkEnd w:id="37"/>
    </w:p>
    <w:p>
      <w:pPr>
        <w:pStyle w:val="Standard"/>
        <w:rPr>
          <w:rFonts w:ascii="Nimbus Sans" w:hAnsi="Nimbus Sans"/>
        </w:rPr>
      </w:pPr>
      <w:bookmarkStart w:id="38" w:name="page38R_mcid0"/>
      <w:bookmarkEnd w:id="38"/>
      <w:r>
        <w:rPr>
          <w:rFonts w:ascii="Nimbus Sans" w:hAnsi="Nimbus Sans"/>
          <w:b/>
          <w:bCs/>
        </w:rPr>
        <w:t>11. Savoir-vivre et bonne conduite</w:t>
      </w:r>
      <w:bookmarkStart w:id="39" w:name="page38R_mcid2"/>
      <w:bookmarkStart w:id="40" w:name="page38R_mcid1"/>
      <w:bookmarkEnd w:id="39"/>
      <w:bookmarkEnd w:id="40"/>
      <w:r>
        <w:rPr>
          <w:rFonts w:ascii="Nimbus Sans" w:hAnsi="Nimbus Sans"/>
        </w:rPr>
        <w:br/>
      </w:r>
      <w:r>
        <w:rPr>
          <w:rFonts w:ascii="Nimbus Sans" w:hAnsi="Nimbus Sans"/>
          <w:i/>
          <w:iCs/>
        </w:rPr>
        <w:t>a)</w:t>
      </w:r>
      <w:r>
        <w:rPr>
          <w:rFonts w:ascii="Nimbus Sans" w:hAnsi="Nimbus Sans"/>
        </w:rPr>
        <w:t xml:space="preserve"> L’exposant s’engage à ne pas troubler la quiétude du marché par des propos inconsidérés envers les clients, les autres exposants ou le Marché public des Basques en tant qu’organisme.</w:t>
      </w:r>
    </w:p>
    <w:p>
      <w:pPr>
        <w:pStyle w:val="Standard"/>
        <w:rPr>
          <w:rFonts w:ascii="Nimbus Sans" w:hAnsi="Nimbus Sans"/>
        </w:rPr>
      </w:pPr>
      <w:bookmarkStart w:id="41" w:name="page38R_mcid3"/>
      <w:bookmarkStart w:id="42" w:name="page38R_mcid4"/>
      <w:bookmarkEnd w:id="41"/>
      <w:bookmarkEnd w:id="42"/>
      <w:r>
        <w:rPr>
          <w:rFonts w:ascii="Nimbus Sans" w:hAnsi="Nimbus Sans"/>
        </w:rPr>
        <w:br/>
      </w:r>
      <w:r>
        <w:rPr>
          <w:rFonts w:ascii="Nimbus Sans" w:hAnsi="Nimbus Sans"/>
          <w:i/>
          <w:iCs/>
        </w:rPr>
        <w:t>b)</w:t>
      </w:r>
      <w:r>
        <w:rPr>
          <w:rFonts w:ascii="Nimbus Sans" w:hAnsi="Nimbus Sans"/>
        </w:rPr>
        <w:t xml:space="preserve"> Il est interdit de fumer sur le site du marché.</w:t>
      </w:r>
    </w:p>
    <w:p>
      <w:pPr>
        <w:pStyle w:val="Standard"/>
        <w:rPr>
          <w:rFonts w:ascii="Nimbus Sans" w:hAnsi="Nimbus Sans"/>
          <w:i/>
          <w:i/>
          <w:iCs/>
        </w:rPr>
      </w:pPr>
      <w:r>
        <w:rPr>
          <w:rFonts w:ascii="Nimbus Sans" w:hAnsi="Nimbus Sans"/>
          <w:i/>
          <w:iCs/>
        </w:rPr>
      </w:r>
    </w:p>
    <w:p>
      <w:pPr>
        <w:pStyle w:val="Standard"/>
        <w:rPr/>
      </w:pPr>
      <w:r>
        <w:rPr>
          <w:rFonts w:ascii="Nimbus Sans" w:hAnsi="Nimbus Sans"/>
          <w:i/>
          <w:iCs/>
        </w:rPr>
        <w:t>c)</w:t>
      </w:r>
      <w:r>
        <w:rPr>
          <w:rFonts w:ascii="Nimbus Sans" w:hAnsi="Nimbus Sans"/>
        </w:rPr>
        <w:t xml:space="preserve"> Il est strictement interdit de faire de la sollicitation auprès des clients et des autres exposants, et spécialement d’interpeller les clients lorsque ceux-ci sont au kiosque d’un autre exposant.</w:t>
      </w:r>
    </w:p>
    <w:p>
      <w:pPr>
        <w:pStyle w:val="Standard"/>
        <w:rPr>
          <w:rFonts w:ascii="Nimbus Sans" w:hAnsi="Nimbus Sans"/>
        </w:rPr>
      </w:pPr>
      <w:r>
        <w:rPr>
          <w:rFonts w:ascii="Nimbus Sans" w:hAnsi="Nimbus Sans"/>
        </w:rPr>
      </w:r>
    </w:p>
    <w:p>
      <w:pPr>
        <w:pStyle w:val="Standard"/>
        <w:rPr/>
      </w:pPr>
      <w:r>
        <w:rPr>
          <w:rFonts w:ascii="Nimbus Sans" w:hAnsi="Nimbus Sans"/>
          <w:i/>
          <w:iCs/>
        </w:rPr>
        <w:t>d)</w:t>
      </w:r>
      <w:r>
        <w:rPr>
          <w:rFonts w:ascii="Nimbus Sans" w:hAnsi="Nimbus Sans"/>
        </w:rPr>
        <w:t xml:space="preserve"> Le Marché public des Basques ne peut en aucun cas être tenu responsable de toutes pertes, vols, bris ou autres dommages qui pourraient survenir sur les lieux de l’événement.</w:t>
      </w:r>
    </w:p>
    <w:p>
      <w:pPr>
        <w:pStyle w:val="Standard"/>
        <w:rPr>
          <w:rFonts w:ascii="Nimbus Sans" w:hAnsi="Nimbus Sans"/>
          <w:b/>
          <w:b/>
          <w:bCs/>
        </w:rPr>
      </w:pPr>
      <w:r>
        <w:rPr>
          <w:rFonts w:ascii="Nimbus Sans" w:hAnsi="Nimbus Sans"/>
          <w:b/>
          <w:bCs/>
        </w:rPr>
      </w:r>
    </w:p>
    <w:p>
      <w:pPr>
        <w:pStyle w:val="Standard"/>
        <w:rPr/>
      </w:pPr>
      <w:r>
        <w:rPr>
          <w:rFonts w:ascii="Nimbus Sans" w:hAnsi="Nimbus Sans"/>
          <w:b/>
          <w:bCs/>
        </w:rPr>
        <w:t>12. Photos et publicité</w:t>
      </w:r>
      <w:bookmarkStart w:id="43" w:name="page38R_mcid11"/>
      <w:bookmarkStart w:id="44" w:name="page38R_mcid12"/>
      <w:bookmarkEnd w:id="43"/>
      <w:bookmarkEnd w:id="44"/>
      <w:r>
        <w:rPr>
          <w:rFonts w:ascii="Nimbus Sans" w:hAnsi="Nimbus Sans"/>
        </w:rPr>
        <w:br/>
        <w:t>Des photos ou des vidéos peuvent être prises sur les lieux du marché par sa coordination, ou toute autre personne mandatée à cet effet par la coordination. Les exposants peuvent y être représentés et mis en valeur. L’exposant accepte que ce matériel puisse être diffusé publiquement par le Marché public des Basques, à des fins de publicité et de promotion. L’exposant peut néanmoins signifier par écrit son refus que son image soit utilisée par le Marché public des Basques.</w:t>
      </w:r>
    </w:p>
    <w:p>
      <w:pPr>
        <w:pStyle w:val="Standard"/>
        <w:rPr>
          <w:rFonts w:ascii="Nimbus Sans" w:hAnsi="Nimbus Sans"/>
        </w:rPr>
      </w:pPr>
      <w:r>
        <w:rPr>
          <w:rFonts w:ascii="Nimbus Sans" w:hAnsi="Nimbus Sans"/>
        </w:rPr>
      </w:r>
    </w:p>
    <w:p>
      <w:pPr>
        <w:pStyle w:val="Standard"/>
        <w:rPr>
          <w:rFonts w:ascii="Nimbus Sans" w:hAnsi="Nimbus Sans"/>
        </w:rPr>
      </w:pPr>
      <w:r>
        <w:rPr>
          <w:rFonts w:ascii="Nimbus Sans" w:hAnsi="Nimbus Sans"/>
        </w:rPr>
      </w:r>
    </w:p>
    <w:p>
      <w:pPr>
        <w:pStyle w:val="Standard"/>
        <w:jc w:val="right"/>
        <w:rPr>
          <w:rFonts w:ascii="Nimbus Sans" w:hAnsi="Nimbus Sans"/>
          <w:i/>
          <w:i/>
          <w:iCs/>
        </w:rPr>
      </w:pPr>
      <w:r>
        <w:rPr>
          <w:rFonts w:ascii="Nimbus Sans" w:hAnsi="Nimbus Sans"/>
          <w:i/>
          <w:iCs/>
        </w:rPr>
        <w:t xml:space="preserve">Adoptées par le conseil d'administration du Marché public des Basques, le </w:t>
      </w:r>
      <w:r>
        <w:rPr>
          <w:rFonts w:ascii="Nimbus Sans" w:hAnsi="Nimbus Sans"/>
          <w:i/>
          <w:iCs/>
        </w:rPr>
        <w:t>27 février 2023</w:t>
      </w:r>
      <w:r>
        <w:rPr>
          <w:rFonts w:ascii="Nimbus Sans" w:hAnsi="Nimbus Sans"/>
          <w:i/>
          <w:iCs/>
        </w:rPr>
        <w:t>.</w:t>
      </w:r>
    </w:p>
    <w:p>
      <w:pPr>
        <w:pStyle w:val="Standard"/>
        <w:rPr>
          <w:rFonts w:ascii="Nimbus Sans" w:hAnsi="Nimbus Sans"/>
          <w:i/>
          <w:i/>
          <w:iCs/>
        </w:rPr>
      </w:pPr>
      <w:r>
        <w:rPr>
          <w:rFonts w:ascii="Nimbus Sans" w:hAnsi="Nimbus Sans"/>
          <w:i/>
          <w:iCs/>
        </w:rPr>
      </w:r>
    </w:p>
    <w:p>
      <w:pPr>
        <w:pStyle w:val="Standard"/>
        <w:rPr>
          <w:rFonts w:ascii="Nimbus Sans" w:hAnsi="Nimbus Sans"/>
          <w:i/>
          <w:i/>
          <w:iCs/>
        </w:rPr>
      </w:pPr>
      <w:r>
        <w:rPr>
          <w:rFonts w:ascii="Nimbus Sans" w:hAnsi="Nimbus Sans"/>
          <w:i/>
          <w:iCs/>
        </w:rPr>
      </w:r>
    </w:p>
    <w:p>
      <w:pPr>
        <w:pStyle w:val="Standard"/>
        <w:rPr>
          <w:rFonts w:ascii="Nimbus Sans" w:hAnsi="Nimbus Sans"/>
          <w:i/>
          <w:i/>
          <w:iCs/>
        </w:rPr>
      </w:pPr>
      <w:r>
        <w:rPr>
          <w:rFonts w:ascii="Nimbus Sans" w:hAnsi="Nimbus Sans"/>
          <w:i/>
          <w:iCs/>
        </w:rPr>
      </w:r>
    </w:p>
    <w:p>
      <w:pPr>
        <w:pStyle w:val="Standard"/>
        <w:rPr>
          <w:rFonts w:ascii="Nimbus Sans" w:hAnsi="Nimbus Sans"/>
        </w:rPr>
      </w:pPr>
      <w:r>
        <w:rPr>
          <w:rFonts w:ascii="Nimbus Sans" w:hAnsi="Nimbus Sans"/>
        </w:rPr>
        <w:t>Signature : ______________________________________</w:t>
      </w:r>
    </w:p>
    <w:sectPr>
      <w:footerReference w:type="default" r:id="rId3"/>
      <w:type w:val="nextPage"/>
      <w:pgSz w:w="12240" w:h="15840"/>
      <w:pgMar w:left="1134" w:right="1134" w:gutter="0" w:header="0" w:top="1134" w:footer="72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Nimbus Sans">
    <w:charset w:val="01"/>
    <w:family w:val="roman"/>
    <w:pitch w:val="variable"/>
  </w:font>
  <w:font w:name="Ubuntu">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jc w:val="right"/>
      <w:rPr>
        <w:sz w:val="28"/>
        <w:szCs w:val="28"/>
      </w:rPr>
    </w:pPr>
    <w:r>
      <w:rPr>
        <w:sz w:val="28"/>
        <w:szCs w:val="28"/>
      </w:rPr>
    </w:r>
  </w:p>
  <w:p>
    <w:pPr>
      <w:pStyle w:val="Pieddepage"/>
      <w:jc w:val="right"/>
      <w:rPr>
        <w:sz w:val="28"/>
        <w:szCs w:val="28"/>
      </w:rPr>
    </w:pPr>
    <w:r>
      <w:rPr>
        <w:sz w:val="28"/>
        <w:szCs w:val="28"/>
      </w:rPr>
      <w:t>Paraphe : _____</w:t>
    </w:r>
  </w:p>
</w:ft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fr-CA"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oto Serif CJK SC" w:cs="Lohit Devanagari"/>
      <w:color w:val="auto"/>
      <w:kern w:val="2"/>
      <w:sz w:val="24"/>
      <w:szCs w:val="24"/>
      <w:lang w:val="fr-CA" w:eastAsia="zh-CN" w:bidi="hi-IN"/>
    </w:rPr>
  </w:style>
  <w:style w:type="character" w:styleId="DefaultParagraphFont" w:default="1">
    <w:name w:val="Default Paragraph Font"/>
    <w:uiPriority w:val="1"/>
    <w:semiHidden/>
    <w:unhideWhenUsed/>
    <w:qFormat/>
    <w:rPr/>
  </w:style>
  <w:style w:type="character" w:styleId="Puces" w:customStyle="1">
    <w:name w:val="Puces"/>
    <w:qFormat/>
    <w:rPr>
      <w:rFonts w:ascii="OpenSymbol" w:hAnsi="OpenSymbol" w:eastAsia="OpenSymbol" w:cs="OpenSymbol"/>
    </w:rPr>
  </w:style>
  <w:style w:type="character" w:styleId="Caractresdenumrotation" w:customStyle="1">
    <w:name w:val="Caractères de numérotation"/>
    <w:qFormat/>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Textbody"/>
    <w:pPr/>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Standard"/>
    <w:qFormat/>
    <w:pPr>
      <w:suppressLineNumbers/>
    </w:pPr>
    <w:rPr/>
  </w:style>
  <w:style w:type="paragraph" w:styleId="Titre1" w:customStyle="1">
    <w:name w:val="Titre1"/>
    <w:basedOn w:val="Standard"/>
    <w:next w:val="Textbody"/>
    <w:qFormat/>
    <w:pPr>
      <w:keepNext w:val="true"/>
      <w:spacing w:before="240" w:after="120"/>
    </w:pPr>
    <w:rPr>
      <w:rFonts w:ascii="Liberation Sans" w:hAnsi="Liberation Sans" w:eastAsia="Noto Sans CJK SC"/>
      <w:sz w:val="28"/>
      <w:szCs w:val="28"/>
    </w:rPr>
  </w:style>
  <w:style w:type="paragraph" w:styleId="Caption">
    <w:name w:val="caption"/>
    <w:basedOn w:val="Standard"/>
    <w:qFormat/>
    <w:pPr>
      <w:suppressLineNumbers/>
      <w:spacing w:before="120" w:after="120"/>
    </w:pPr>
    <w:rPr>
      <w:i/>
      <w:iCs/>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oto Serif CJK SC" w:cs="Lohit Devanagari"/>
      <w:color w:val="auto"/>
      <w:kern w:val="2"/>
      <w:sz w:val="24"/>
      <w:szCs w:val="24"/>
      <w:lang w:val="fr-CA" w:eastAsia="zh-CN" w:bidi="hi-IN"/>
    </w:rPr>
  </w:style>
  <w:style w:type="paragraph" w:styleId="Textbody" w:customStyle="1">
    <w:name w:val="Text body"/>
    <w:basedOn w:val="Standard"/>
    <w:qFormat/>
    <w:pPr>
      <w:spacing w:lineRule="auto" w:line="276" w:before="0" w:after="140"/>
    </w:pPr>
    <w:rPr/>
  </w:style>
  <w:style w:type="paragraph" w:styleId="Entteetpieddepage" w:customStyle="1">
    <w:name w:val="En-tête et pied de page"/>
    <w:basedOn w:val="Standard"/>
    <w:qFormat/>
    <w:pPr>
      <w:suppressLineNumbers/>
      <w:tabs>
        <w:tab w:val="clear" w:pos="709"/>
        <w:tab w:val="center" w:pos="4986" w:leader="none"/>
        <w:tab w:val="right" w:pos="9972" w:leader="none"/>
      </w:tabs>
    </w:pPr>
    <w:rPr/>
  </w:style>
  <w:style w:type="paragraph" w:styleId="Pieddepage">
    <w:name w:val="Footer"/>
    <w:basedOn w:val="Entteetpieddepage"/>
    <w:pPr/>
    <w:rPr/>
  </w:style>
  <w:style w:type="paragraph" w:styleId="Contenudetableau" w:customStyle="1">
    <w:name w:val="Contenu de tableau"/>
    <w:basedOn w:val="Standard"/>
    <w:qFormat/>
    <w:pPr>
      <w:suppressLineNumbers/>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Application>LibreOffice/7.3.7.2$Linux_X86_64 LibreOffice_project/30$Build-2</Application>
  <AppVersion>15.0000</AppVersion>
  <DocSecurity>0</DocSecurity>
  <Pages>4</Pages>
  <Words>1334</Words>
  <Characters>7059</Characters>
  <CharactersWithSpaces>8348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2022-04-15T20:55:00Z</dcterms:created>
  <dc:creator>François Desjardins</dc:creator>
  <dc:description/>
  <dc:language>fr-CA</dc:language>
  <cp:lastModifiedBy>Gabriel Legaré</cp:lastModifiedBy>
  <cp:lastPrinted>2022-04-15T20:55:00Z</cp:lastPrinted>
  <dcterms:modified xsi:type="dcterms:W3CDTF">2023-02-27T11:15:40Z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